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B3DBE">
      <w:pPr>
        <w:spacing w:line="360" w:lineRule="auto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2025年湖州师范学院</w:t>
      </w:r>
      <w:r>
        <w:rPr>
          <w:rFonts w:hint="eastAsia"/>
          <w:b/>
          <w:sz w:val="36"/>
          <w:szCs w:val="36"/>
          <w:lang w:val="en-US" w:eastAsia="zh-CN"/>
        </w:rPr>
        <w:t>材料与化工</w:t>
      </w:r>
      <w:r>
        <w:rPr>
          <w:rFonts w:hint="eastAsia"/>
          <w:b/>
          <w:sz w:val="36"/>
          <w:szCs w:val="36"/>
        </w:rPr>
        <w:t>专业</w:t>
      </w:r>
    </w:p>
    <w:p w14:paraId="1B83F17A">
      <w:pPr>
        <w:spacing w:line="360" w:lineRule="auto"/>
        <w:jc w:val="center"/>
        <w:rPr>
          <w:sz w:val="24"/>
        </w:rPr>
      </w:pPr>
      <w:r>
        <w:rPr>
          <w:rFonts w:hint="eastAsia"/>
          <w:b/>
          <w:sz w:val="36"/>
          <w:szCs w:val="36"/>
          <w:lang w:val="en-US" w:eastAsia="zh-CN"/>
        </w:rPr>
        <w:t>硕士</w:t>
      </w:r>
      <w:r>
        <w:rPr>
          <w:rFonts w:hint="eastAsia"/>
          <w:b/>
          <w:sz w:val="36"/>
          <w:szCs w:val="36"/>
        </w:rPr>
        <w:t>研究生</w:t>
      </w:r>
      <w:r>
        <w:rPr>
          <w:rFonts w:hint="eastAsia"/>
          <w:b/>
          <w:sz w:val="36"/>
          <w:szCs w:val="36"/>
          <w:lang w:val="en-US" w:eastAsia="zh-CN"/>
        </w:rPr>
        <w:t>招生考试</w:t>
      </w:r>
      <w:r>
        <w:rPr>
          <w:rFonts w:hint="eastAsia"/>
          <w:sz w:val="24"/>
        </w:rPr>
        <w:t xml:space="preserve"> </w:t>
      </w:r>
    </w:p>
    <w:p w14:paraId="65559C30">
      <w:pPr>
        <w:pStyle w:val="7"/>
        <w:snapToGrid w:val="0"/>
        <w:spacing w:line="360" w:lineRule="auto"/>
        <w:ind w:left="0" w:firstLine="0"/>
        <w:jc w:val="center"/>
        <w:rPr>
          <w:bCs/>
          <w:sz w:val="24"/>
        </w:rPr>
      </w:pPr>
      <w:r>
        <w:rPr>
          <w:rFonts w:hint="eastAsia" w:ascii="仿宋" w:hAnsi="仿宋" w:eastAsia="仿宋"/>
          <w:b/>
          <w:color w:val="000000"/>
          <w:sz w:val="36"/>
          <w:szCs w:val="36"/>
        </w:rPr>
        <w:t>《</w:t>
      </w:r>
      <w:r>
        <w:rPr>
          <w:rFonts w:hint="eastAsia" w:ascii="仿宋" w:hAnsi="仿宋" w:eastAsia="仿宋"/>
          <w:b/>
          <w:color w:val="000000"/>
          <w:sz w:val="36"/>
          <w:szCs w:val="36"/>
          <w:lang w:val="en-US" w:eastAsia="zh-CN"/>
        </w:rPr>
        <w:t>无机及分析化学</w:t>
      </w:r>
      <w:r>
        <w:rPr>
          <w:rFonts w:hint="eastAsia" w:ascii="仿宋" w:hAnsi="仿宋" w:eastAsia="仿宋"/>
          <w:b/>
          <w:color w:val="000000"/>
          <w:sz w:val="36"/>
          <w:szCs w:val="36"/>
        </w:rPr>
        <w:t>》课程复试大纲</w:t>
      </w:r>
    </w:p>
    <w:p w14:paraId="2055C8D0">
      <w:pPr>
        <w:spacing w:line="440" w:lineRule="exac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>一</w:t>
      </w:r>
      <w:r>
        <w:rPr>
          <w:rFonts w:hint="eastAsia" w:ascii="宋体" w:hAnsi="宋体"/>
          <w:sz w:val="24"/>
        </w:rPr>
        <w:t xml:space="preserve">章 </w:t>
      </w:r>
      <w:r>
        <w:rPr>
          <w:rFonts w:hint="eastAsia" w:ascii="宋体" w:hAnsi="宋体"/>
          <w:sz w:val="24"/>
          <w:lang w:val="en-US" w:eastAsia="zh-CN"/>
        </w:rPr>
        <w:t>化学中的溶液平衡</w:t>
      </w:r>
    </w:p>
    <w:p w14:paraId="45631750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一、酸碱平衡</w:t>
      </w:r>
    </w:p>
    <w:p w14:paraId="4A904F07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（一）酸碱电离理论</w:t>
      </w:r>
    </w:p>
    <w:p w14:paraId="3E0D5FD8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（二）酸碱质子理论</w:t>
      </w:r>
    </w:p>
    <w:p w14:paraId="5FB8D10E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（三）酸碱平衡的移动</w:t>
      </w:r>
    </w:p>
    <w:p w14:paraId="6A2F6F95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（四）酸碱指示剂作用原理 </w:t>
      </w:r>
    </w:p>
    <w:p w14:paraId="24C6D294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（五）酸碱指示剂变色范围及其影响因素</w:t>
      </w:r>
    </w:p>
    <w:p w14:paraId="795BCC3C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（六）缓冲溶液</w:t>
      </w:r>
    </w:p>
    <w:p w14:paraId="79F6437E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二、沉淀溶解平衡</w:t>
      </w:r>
    </w:p>
    <w:p w14:paraId="687DE2F1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（一）溶度积原理</w:t>
      </w:r>
    </w:p>
    <w:p w14:paraId="4A3CDBFB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（二）沉淀溶解平衡的移动</w:t>
      </w:r>
    </w:p>
    <w:p w14:paraId="2C929B23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（三）沉淀溶解的方法</w:t>
      </w:r>
    </w:p>
    <w:p w14:paraId="42D61F79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三、配位化合物在溶液中的解离平衡</w:t>
      </w:r>
    </w:p>
    <w:p w14:paraId="10BD8B7D">
      <w:pPr>
        <w:spacing w:line="440" w:lineRule="exac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（一）配合物的组成和类型</w:t>
      </w:r>
    </w:p>
    <w:p w14:paraId="77D48822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（二）稳定常数和不稳定常数</w:t>
      </w:r>
    </w:p>
    <w:p w14:paraId="37553163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（三）逐级稳定常数和累级稳定常数</w:t>
      </w:r>
    </w:p>
    <w:p w14:paraId="73DEA55E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（四）配合物的绝对稳定常数和条件稳定常数</w:t>
      </w:r>
    </w:p>
    <w:p w14:paraId="778DA067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（五）EDTA的性质及与金属离子的配位平衡</w:t>
      </w:r>
    </w:p>
    <w:p w14:paraId="2EA0B086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四、氧化还原平衡</w:t>
      </w:r>
    </w:p>
    <w:p w14:paraId="42A37A81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（一）标准电极电势</w:t>
      </w:r>
    </w:p>
    <w:p w14:paraId="4DF5A12C">
      <w:pPr>
        <w:spacing w:line="440" w:lineRule="exac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（二）影响电极电势的因素</w:t>
      </w:r>
    </w:p>
    <w:p w14:paraId="530F6CE8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（三）电极电势的应用</w:t>
      </w:r>
    </w:p>
    <w:p w14:paraId="742C5F75">
      <w:pPr>
        <w:spacing w:line="440" w:lineRule="exac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（四）影响氧化还原反应速率的因素</w:t>
      </w:r>
    </w:p>
    <w:p w14:paraId="46715D28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>二</w:t>
      </w:r>
      <w:r>
        <w:rPr>
          <w:rFonts w:hint="eastAsia" w:ascii="宋体" w:hAnsi="宋体"/>
          <w:sz w:val="24"/>
        </w:rPr>
        <w:t xml:space="preserve">章 </w:t>
      </w:r>
      <w:r>
        <w:rPr>
          <w:rFonts w:hint="eastAsia" w:ascii="宋体" w:hAnsi="宋体"/>
          <w:sz w:val="24"/>
          <w:lang w:val="en-US" w:eastAsia="zh-CN"/>
        </w:rPr>
        <w:t>定量分析基础</w:t>
      </w:r>
    </w:p>
    <w:p w14:paraId="3DEB350A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一、定量分析方法的分类</w:t>
      </w:r>
    </w:p>
    <w:p w14:paraId="61AFE29C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（一）化学分析方法</w:t>
      </w:r>
    </w:p>
    <w:p w14:paraId="0AE50977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（二）仪器分析方法</w:t>
      </w:r>
    </w:p>
    <w:p w14:paraId="038DBA51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二、定量分析中的误差</w:t>
      </w:r>
    </w:p>
    <w:p w14:paraId="5C43B313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（一）误差和偏差的表示方法</w:t>
      </w:r>
    </w:p>
    <w:p w14:paraId="02B359D9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（二）定量分析误差产生的原因</w:t>
      </w:r>
    </w:p>
    <w:p w14:paraId="21AADA1C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（三）提高分析结果准确度的方法</w:t>
      </w:r>
    </w:p>
    <w:p w14:paraId="3AA273D6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三、滴定分析概述</w:t>
      </w:r>
    </w:p>
    <w:p w14:paraId="11CE052E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（一）几个基本概念：滴定、化学计量点、指示剂、滴定终点等</w:t>
      </w:r>
    </w:p>
    <w:p w14:paraId="10E0711C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（二）基准物质</w:t>
      </w:r>
    </w:p>
    <w:p w14:paraId="69736D8D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（三）标准溶液的配制方法</w:t>
      </w:r>
    </w:p>
    <w:p w14:paraId="45ED1DFF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（四）滴定分析法的分类</w:t>
      </w:r>
    </w:p>
    <w:p w14:paraId="1EE649B0">
      <w:pPr>
        <w:spacing w:line="440" w:lineRule="exac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第三章 四大滴定</w:t>
      </w:r>
    </w:p>
    <w:p w14:paraId="386A662A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一、酸碱滴定法</w:t>
      </w:r>
    </w:p>
    <w:p w14:paraId="7AB5CD43">
      <w:pPr>
        <w:spacing w:line="440" w:lineRule="exac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（一）酸碱滴定突越及影响滴定突越的因素</w:t>
      </w:r>
    </w:p>
    <w:p w14:paraId="6937E1EF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（二）指示剂选择原则</w:t>
      </w:r>
    </w:p>
    <w:p w14:paraId="64BA96BA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（三）一元弱酸（或弱碱）能被直接准确滴定的判据</w:t>
      </w:r>
    </w:p>
    <w:p w14:paraId="2D45CCA4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（四）酸碱标准溶液的配制与标定</w:t>
      </w:r>
    </w:p>
    <w:p w14:paraId="2B9B5F31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（五）混合碱的测定和物质中氮元素的测定</w:t>
      </w:r>
    </w:p>
    <w:p w14:paraId="3991965C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二、沉淀滴定法</w:t>
      </w:r>
    </w:p>
    <w:p w14:paraId="1BDAD5AA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（一）莫尔法的测定原理、滴定条件</w:t>
      </w:r>
    </w:p>
    <w:p w14:paraId="6BD70895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（二）福尔哈德法的直接滴定法和返滴定法</w:t>
      </w:r>
    </w:p>
    <w:p w14:paraId="534C9994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三、氧化还原滴定法</w:t>
      </w:r>
    </w:p>
    <w:p w14:paraId="6BEB1D01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（一）重铬酸钾法测定铁</w:t>
      </w:r>
    </w:p>
    <w:p w14:paraId="5D22A591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（二）KMnO</w:t>
      </w:r>
      <w:r>
        <w:rPr>
          <w:rFonts w:hint="eastAsia" w:ascii="宋体" w:hAnsi="宋体"/>
          <w:sz w:val="24"/>
          <w:vertAlign w:val="subscript"/>
          <w:lang w:val="en-US" w:eastAsia="zh-CN"/>
        </w:rPr>
        <w:t>4</w:t>
      </w:r>
      <w:r>
        <w:rPr>
          <w:rFonts w:hint="eastAsia" w:ascii="宋体" w:hAnsi="宋体"/>
          <w:sz w:val="24"/>
          <w:lang w:val="en-US" w:eastAsia="zh-CN"/>
        </w:rPr>
        <w:t>溶液滴定草酸盐的滴定条件</w:t>
      </w:r>
    </w:p>
    <w:p w14:paraId="4E67EF78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（三）高锰酸钾法测定铁</w:t>
      </w:r>
    </w:p>
    <w:p w14:paraId="5ACCC2B5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（四）直接碘量法和间接碘量法</w:t>
      </w:r>
    </w:p>
    <w:p w14:paraId="40C2C5B3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（五）碘量法的误差来源及注意事项</w:t>
      </w:r>
    </w:p>
    <w:p w14:paraId="3DED2042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（六）碘量法测定硫酸铜中的铜</w:t>
      </w:r>
    </w:p>
    <w:p w14:paraId="5FF3E95F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四、配位滴定法</w:t>
      </w:r>
    </w:p>
    <w:p w14:paraId="521B97A9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（一）配位滴定所允许的最低pH和酸效应曲线</w:t>
      </w:r>
    </w:p>
    <w:p w14:paraId="75998A6B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（二）金属指示剂的变色原理</w:t>
      </w:r>
    </w:p>
    <w:p w14:paraId="2655D5BD">
      <w:pPr>
        <w:spacing w:line="440" w:lineRule="exact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（三）金属指示剂的封闭现象和僵化现象</w:t>
      </w:r>
    </w:p>
    <w:p w14:paraId="6B43C8A7">
      <w:pPr>
        <w:spacing w:line="440" w:lineRule="exact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（四）提高配位滴定选择性的方法及相关例子</w:t>
      </w:r>
    </w:p>
    <w:p w14:paraId="35664604">
      <w:pPr>
        <w:pStyle w:val="23"/>
        <w:tabs>
          <w:tab w:val="left" w:pos="900"/>
          <w:tab w:val="left" w:pos="1080"/>
        </w:tabs>
        <w:spacing w:line="440" w:lineRule="exact"/>
        <w:ind w:left="0" w:leftChars="0" w:right="420" w:rightChars="200" w:firstLine="0" w:firstLineChars="0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第四章 分子光谱分析</w:t>
      </w:r>
    </w:p>
    <w:p w14:paraId="2B1C934D">
      <w:pPr>
        <w:pStyle w:val="23"/>
        <w:tabs>
          <w:tab w:val="left" w:pos="900"/>
          <w:tab w:val="left" w:pos="1080"/>
        </w:tabs>
        <w:spacing w:line="440" w:lineRule="exact"/>
        <w:ind w:left="0" w:leftChars="0" w:right="420" w:rightChars="200" w:firstLine="0" w:firstLineChars="0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一、光谱分析概述</w:t>
      </w:r>
    </w:p>
    <w:p w14:paraId="31352E01">
      <w:pPr>
        <w:pStyle w:val="23"/>
        <w:tabs>
          <w:tab w:val="left" w:pos="900"/>
          <w:tab w:val="left" w:pos="1080"/>
        </w:tabs>
        <w:spacing w:line="440" w:lineRule="exact"/>
        <w:ind w:left="0" w:leftChars="0" w:right="420" w:rightChars="200" w:firstLine="0" w:firstLineChars="0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（一）光谱分类及光谱分析法</w:t>
      </w:r>
    </w:p>
    <w:p w14:paraId="6EA61F29">
      <w:pPr>
        <w:pStyle w:val="23"/>
        <w:tabs>
          <w:tab w:val="left" w:pos="900"/>
          <w:tab w:val="left" w:pos="1080"/>
        </w:tabs>
        <w:spacing w:line="440" w:lineRule="exact"/>
        <w:ind w:left="0" w:leftChars="0" w:right="420" w:rightChars="200" w:firstLine="0" w:firstLineChars="0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（二）物质的颜色和光的关系</w:t>
      </w:r>
    </w:p>
    <w:p w14:paraId="78859116">
      <w:pPr>
        <w:pStyle w:val="23"/>
        <w:tabs>
          <w:tab w:val="left" w:pos="900"/>
          <w:tab w:val="left" w:pos="1080"/>
        </w:tabs>
        <w:spacing w:line="440" w:lineRule="exact"/>
        <w:ind w:left="0" w:leftChars="0" w:right="420" w:rightChars="200" w:firstLine="0" w:firstLineChars="0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二、光的吸收定律——朗伯-比尔定律</w:t>
      </w:r>
    </w:p>
    <w:p w14:paraId="75909982">
      <w:pPr>
        <w:pStyle w:val="23"/>
        <w:tabs>
          <w:tab w:val="left" w:pos="900"/>
          <w:tab w:val="left" w:pos="1080"/>
        </w:tabs>
        <w:spacing w:line="440" w:lineRule="exact"/>
        <w:ind w:left="0" w:leftChars="0" w:right="420" w:rightChars="200" w:firstLine="0" w:firstLineChars="0"/>
        <w:rPr>
          <w:rFonts w:hint="eastAsia" w:ascii="宋体" w:hAnsi="宋体"/>
          <w:color w:val="auto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三、紫外-可见吸收光谱分析</w:t>
      </w:r>
    </w:p>
    <w:p w14:paraId="6BE2F8FE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 w:ascii="宋体" w:hAnsi="宋体"/>
          <w:color w:val="auto"/>
          <w:sz w:val="24"/>
          <w:lang w:val="en-US" w:eastAsia="zh-CN"/>
        </w:rPr>
        <w:t>（一）</w:t>
      </w:r>
      <w:r>
        <w:rPr>
          <w:rFonts w:hint="eastAsia"/>
          <w:sz w:val="24"/>
          <w:lang w:val="en-US" w:eastAsia="zh-CN"/>
        </w:rPr>
        <w:t>吸收曲线</w:t>
      </w:r>
    </w:p>
    <w:p w14:paraId="4484B188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（二）标准曲线法</w:t>
      </w:r>
    </w:p>
    <w:p w14:paraId="658F374D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（三）测量条件的选择</w:t>
      </w:r>
    </w:p>
    <w:p w14:paraId="2B6597F4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四、红外光谱法</w:t>
      </w:r>
    </w:p>
    <w:p w14:paraId="70C08502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（一）红外吸收与分子结构</w:t>
      </w:r>
    </w:p>
    <w:p w14:paraId="3902CDF2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（二）定性鉴别和结构分析</w:t>
      </w:r>
    </w:p>
    <w:p w14:paraId="1DE977AC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（三）定量分析</w:t>
      </w:r>
    </w:p>
    <w:p w14:paraId="602A3BF3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第五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>章 采样与试样预处理</w:t>
      </w:r>
    </w:p>
    <w:p w14:paraId="62885FC8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（一）沉淀分离法</w:t>
      </w:r>
    </w:p>
    <w:p w14:paraId="532F9749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（二）液-液萃取分离法</w:t>
      </w:r>
    </w:p>
    <w:p w14:paraId="46810277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（三）离子交换分离法</w:t>
      </w:r>
    </w:p>
    <w:p w14:paraId="419541DA">
      <w:pPr>
        <w:spacing w:line="440" w:lineRule="exact"/>
        <w:outlineLvl w:val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（四）色谱分离法</w:t>
      </w:r>
    </w:p>
    <w:p w14:paraId="0D7B9082">
      <w:pPr>
        <w:spacing w:line="440" w:lineRule="exact"/>
        <w:outlineLvl w:val="0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（五）新的分离和富集方法简介</w:t>
      </w:r>
    </w:p>
    <w:p w14:paraId="6C2F6572">
      <w:pPr>
        <w:pStyle w:val="23"/>
        <w:tabs>
          <w:tab w:val="left" w:pos="900"/>
          <w:tab w:val="left" w:pos="1080"/>
        </w:tabs>
        <w:spacing w:line="440" w:lineRule="exact"/>
        <w:ind w:left="0" w:leftChars="0" w:right="420" w:rightChars="200" w:firstLine="0" w:firstLineChars="0"/>
        <w:rPr>
          <w:rFonts w:hint="default" w:eastAsia="宋体"/>
          <w:b/>
          <w:sz w:val="24"/>
          <w:lang w:val="en-US" w:eastAsia="zh-CN"/>
        </w:rPr>
      </w:pPr>
    </w:p>
    <w:p w14:paraId="38CC54E3">
      <w:pPr>
        <w:tabs>
          <w:tab w:val="left" w:pos="900"/>
          <w:tab w:val="left" w:pos="1080"/>
        </w:tabs>
        <w:adjustRightInd w:val="0"/>
        <w:snapToGrid w:val="0"/>
        <w:spacing w:before="156" w:beforeLines="50" w:line="440" w:lineRule="exact"/>
        <w:rPr>
          <w:b/>
          <w:sz w:val="24"/>
        </w:rPr>
      </w:pPr>
      <w:r>
        <w:rPr>
          <w:b/>
          <w:sz w:val="24"/>
        </w:rPr>
        <w:t>【阅读书目与文献】</w:t>
      </w:r>
    </w:p>
    <w:p w14:paraId="2101E6E1">
      <w:pPr>
        <w:tabs>
          <w:tab w:val="left" w:pos="900"/>
          <w:tab w:val="left" w:pos="1080"/>
        </w:tabs>
        <w:spacing w:line="440" w:lineRule="exact"/>
        <w:ind w:right="420" w:rightChars="200"/>
        <w:rPr>
          <w:rFonts w:hint="default" w:ascii="仿宋" w:hAnsi="仿宋" w:eastAsia="仿宋"/>
          <w:color w:val="000000"/>
          <w:sz w:val="24"/>
          <w:lang w:val="en-US" w:eastAsia="zh-CN"/>
        </w:rPr>
      </w:pPr>
      <w:r>
        <w:rPr>
          <w:rFonts w:hint="eastAsia" w:ascii="宋体" w:hAnsi="宋体"/>
          <w:sz w:val="24"/>
        </w:rPr>
        <w:t>《</w:t>
      </w:r>
      <w:r>
        <w:rPr>
          <w:rFonts w:hint="eastAsia" w:ascii="宋体" w:hAnsi="宋体"/>
          <w:sz w:val="24"/>
          <w:lang w:val="en-US" w:eastAsia="zh-CN"/>
        </w:rPr>
        <w:t>无机及分析</w:t>
      </w:r>
      <w:r>
        <w:rPr>
          <w:rFonts w:ascii="宋体" w:hAnsi="宋体"/>
          <w:sz w:val="24"/>
        </w:rPr>
        <w:t>化学（第</w:t>
      </w:r>
      <w:r>
        <w:rPr>
          <w:rFonts w:hint="eastAsia" w:ascii="宋体" w:hAnsi="宋体"/>
          <w:sz w:val="24"/>
          <w:lang w:val="en-US" w:eastAsia="zh-CN"/>
        </w:rPr>
        <w:t>三</w:t>
      </w:r>
      <w:r>
        <w:rPr>
          <w:rFonts w:ascii="宋体" w:hAnsi="宋体"/>
          <w:sz w:val="24"/>
        </w:rPr>
        <w:t>版）》</w:t>
      </w:r>
      <w:r>
        <w:rPr>
          <w:rFonts w:hint="eastAsia" w:ascii="宋体" w:hAnsi="宋体"/>
          <w:sz w:val="24"/>
        </w:rPr>
        <w:t>，</w:t>
      </w:r>
      <w:r>
        <w:rPr>
          <w:rFonts w:hint="eastAsia" w:ascii="宋体" w:hAnsi="宋体"/>
          <w:sz w:val="24"/>
          <w:lang w:val="en-US" w:eastAsia="zh-CN"/>
        </w:rPr>
        <w:t>浙江大学</w:t>
      </w:r>
      <w:r>
        <w:rPr>
          <w:rFonts w:hint="eastAsia" w:ascii="宋体" w:hAnsi="宋体"/>
          <w:color w:val="auto"/>
          <w:sz w:val="24"/>
        </w:rPr>
        <w:t>主编，</w:t>
      </w:r>
      <w:r>
        <w:rPr>
          <w:rFonts w:hint="eastAsia" w:ascii="宋体" w:hAnsi="宋体"/>
          <w:color w:val="auto"/>
          <w:sz w:val="24"/>
          <w:lang w:val="en-US" w:eastAsia="zh-CN"/>
        </w:rPr>
        <w:t>高等教育</w:t>
      </w:r>
      <w:r>
        <w:rPr>
          <w:rFonts w:hint="eastAsia" w:ascii="宋体" w:hAnsi="宋体"/>
          <w:color w:val="auto"/>
          <w:sz w:val="24"/>
        </w:rPr>
        <w:t>出版社，201</w:t>
      </w:r>
      <w:r>
        <w:rPr>
          <w:rFonts w:hint="eastAsia" w:ascii="宋体" w:hAnsi="宋体"/>
          <w:color w:val="auto"/>
          <w:sz w:val="24"/>
          <w:lang w:val="en-US" w:eastAsia="zh-CN"/>
        </w:rPr>
        <w:t>9</w:t>
      </w:r>
      <w:r>
        <w:rPr>
          <w:rFonts w:hint="eastAsia" w:ascii="宋体" w:hAnsi="宋体"/>
          <w:color w:val="auto"/>
          <w:sz w:val="24"/>
        </w:rPr>
        <w:t>。</w:t>
      </w:r>
    </w:p>
    <w:sectPr>
      <w:head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9AF59B">
    <w:pPr>
      <w:pStyle w:val="11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